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51E" w:rsidRPr="00AA451E" w:rsidRDefault="00AA451E" w:rsidP="00AA451E">
      <w:pPr>
        <w:shd w:val="clear" w:color="auto" w:fill="F1F2F4"/>
        <w:spacing w:line="240" w:lineRule="auto"/>
        <w:contextualSpacing/>
        <w:textAlignment w:val="baseline"/>
        <w:outlineLvl w:val="0"/>
        <w:rPr>
          <w:rFonts w:ascii="Times New Roman" w:eastAsia="Times New Roman" w:hAnsi="Times New Roman" w:cs="Times New Roman"/>
          <w:b/>
          <w:color w:val="1C1B28"/>
          <w:spacing w:val="-4"/>
          <w:kern w:val="36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b/>
          <w:color w:val="1C1B28"/>
          <w:spacing w:val="-4"/>
          <w:kern w:val="36"/>
          <w:sz w:val="24"/>
          <w:szCs w:val="24"/>
          <w:lang w:eastAsia="ru-RU"/>
        </w:rPr>
        <w:t>Взносы на капремонт: вопросы и ответы</w:t>
      </w:r>
    </w:p>
    <w:p w:rsidR="00AA451E" w:rsidRPr="00AA451E" w:rsidRDefault="00AA451E" w:rsidP="00AA451E">
      <w:pPr>
        <w:pBdr>
          <w:bottom w:val="single" w:sz="6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AA451E">
        <w:rPr>
          <w:rFonts w:ascii="Times New Roman" w:eastAsia="Times New Roman" w:hAnsi="Times New Roman" w:cs="Times New Roman"/>
          <w:vanish/>
          <w:lang w:eastAsia="ru-RU"/>
        </w:rPr>
        <w:t>Начало формы</w:t>
      </w:r>
    </w:p>
    <w:p w:rsidR="00AA451E" w:rsidRPr="00AA451E" w:rsidRDefault="00AA451E" w:rsidP="00AA451E">
      <w:pPr>
        <w:pBdr>
          <w:top w:val="single" w:sz="6" w:space="1" w:color="auto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vanish/>
          <w:lang w:eastAsia="ru-RU"/>
        </w:rPr>
      </w:pPr>
      <w:r w:rsidRPr="00AA451E">
        <w:rPr>
          <w:rFonts w:ascii="Times New Roman" w:eastAsia="Times New Roman" w:hAnsi="Times New Roman" w:cs="Times New Roman"/>
          <w:vanish/>
          <w:lang w:eastAsia="ru-RU"/>
        </w:rPr>
        <w:t>Конец формы</w:t>
      </w:r>
    </w:p>
    <w:p w:rsidR="00AA451E" w:rsidRPr="00AA451E" w:rsidRDefault="00AA451E" w:rsidP="00AA451E">
      <w:pPr>
        <w:shd w:val="clear" w:color="auto" w:fill="F1F2F4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lang w:eastAsia="ru-RU"/>
        </w:rPr>
        <w:t>С 2014 года в квитанциях за коммунальные услуги стали появляться обязательные платежи на капремонт. Как рассчитываются ежемесячные взносы, и каким образом расходуются полученные средства? В каких случаях можно отказаться от оплаты? Подробности в инструкции.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lang w:eastAsia="ru-RU"/>
        </w:rPr>
      </w:pP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Что такое взносы на капремонт, и являются ли они обязательными?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Взносы на капитальный ремонт — это ежемесячные платежи, которые начисляются собственникам жилья в многоквартирных домах. Они являются обязательными для всех граждан, за исключением льготных групп населения, и перечисляются в специализированные региональные фонды.</w:t>
      </w: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26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Кто может не платить взносы на капремонт?</w:t>
      </w:r>
      <w:r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 xml:space="preserve"> </w:t>
      </w: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Полностью освобождены от необходимости платить взносы на капремонт жители:</w:t>
      </w:r>
    </w:p>
    <w:p w:rsidR="00AA451E" w:rsidRPr="00AA451E" w:rsidRDefault="00AA451E" w:rsidP="00AA451E">
      <w:pPr>
        <w:numPr>
          <w:ilvl w:val="0"/>
          <w:numId w:val="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Аварийных домов или зданий, которые подлежат сносу;</w:t>
      </w:r>
    </w:p>
    <w:p w:rsidR="00AA451E" w:rsidRPr="00AA451E" w:rsidRDefault="00AA451E" w:rsidP="00AA451E">
      <w:pPr>
        <w:numPr>
          <w:ilvl w:val="0"/>
          <w:numId w:val="1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Домов, которые находятся на земле, изымаемой для государственных или муниципальных нужд.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Такие дома не включаются в региональные программы капитального ремонта.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27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Кто может рассчитывать на компенсацию взносов на капремонт?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Региональные власти могут выплачивать компенсации для отдельных категорий населения:</w:t>
      </w:r>
    </w:p>
    <w:p w:rsidR="00AA451E" w:rsidRPr="00AA451E" w:rsidRDefault="00AA451E" w:rsidP="00AA451E">
      <w:pPr>
        <w:numPr>
          <w:ilvl w:val="0"/>
          <w:numId w:val="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Пенсионеры старше 80 лет (выплата 100% от суммы взноса на капремонт);</w:t>
      </w:r>
    </w:p>
    <w:p w:rsidR="00AA451E" w:rsidRPr="00AA451E" w:rsidRDefault="00AA451E" w:rsidP="00AA451E">
      <w:pPr>
        <w:numPr>
          <w:ilvl w:val="0"/>
          <w:numId w:val="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инвалиды 1 или 2 группы, дети-инвалиды или граждане, имеющие детей инвалидов (до 50% взноса);</w:t>
      </w:r>
    </w:p>
    <w:p w:rsidR="00AA451E" w:rsidRPr="00AA451E" w:rsidRDefault="00AA451E" w:rsidP="00AA451E">
      <w:pPr>
        <w:numPr>
          <w:ilvl w:val="0"/>
          <w:numId w:val="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ветераны ВОВ и члены их семей;</w:t>
      </w:r>
    </w:p>
    <w:p w:rsidR="00AA451E" w:rsidRPr="00AA451E" w:rsidRDefault="00AA451E" w:rsidP="00AA451E">
      <w:pPr>
        <w:numPr>
          <w:ilvl w:val="0"/>
          <w:numId w:val="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инвалиды и ветераны боевых действий;</w:t>
      </w:r>
    </w:p>
    <w:p w:rsidR="00AA451E" w:rsidRPr="00AA451E" w:rsidRDefault="00AA451E" w:rsidP="00AA451E">
      <w:pPr>
        <w:numPr>
          <w:ilvl w:val="0"/>
          <w:numId w:val="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пострадавшие в результате аварии на ЧАЭС;</w:t>
      </w:r>
    </w:p>
    <w:p w:rsidR="00AA451E" w:rsidRPr="00AA451E" w:rsidRDefault="00AA451E" w:rsidP="00AA451E">
      <w:pPr>
        <w:numPr>
          <w:ilvl w:val="0"/>
          <w:numId w:val="2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иные льготные категории, которые определены региональными властями.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29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Как оформить льготу при выплате за капремонт?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6450594" cy="1649535"/>
            <wp:effectExtent l="19050" t="0" r="7356" b="0"/>
            <wp:docPr id="6" name="Рисунок 6" descr="Оформление льготы на выплату за капрем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формление льготы на выплату за капремон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141" cy="164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Для того</w:t>
      </w:r>
      <w:proofErr w:type="gramStart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,</w:t>
      </w:r>
      <w:proofErr w:type="gramEnd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 xml:space="preserve"> чтобы оформить льготу можно обратиться в один из </w:t>
      </w:r>
      <w:hyperlink r:id="rId6" w:tgtFrame="_blank" w:history="1">
        <w:r w:rsidRPr="00AA451E">
          <w:rPr>
            <w:rFonts w:ascii="Times New Roman" w:eastAsia="Times New Roman" w:hAnsi="Times New Roman" w:cs="Times New Roman"/>
            <w:color w:val="8BC540"/>
            <w:sz w:val="24"/>
            <w:szCs w:val="24"/>
            <w:u w:val="single"/>
            <w:lang w:eastAsia="ru-RU"/>
          </w:rPr>
          <w:t>МФЦ</w:t>
        </w:r>
      </w:hyperlink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 xml:space="preserve"> по месту жительства. Список документов может отличаться в различных регионах, </w:t>
      </w:r>
      <w:proofErr w:type="gramStart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но</w:t>
      </w:r>
      <w:proofErr w:type="gramEnd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 как правило включает:</w:t>
      </w:r>
    </w:p>
    <w:p w:rsidR="00AA451E" w:rsidRPr="00AA451E" w:rsidRDefault="00AA451E" w:rsidP="00AA451E">
      <w:pPr>
        <w:numPr>
          <w:ilvl w:val="0"/>
          <w:numId w:val="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заявление (заполняется в МФЦ);</w:t>
      </w:r>
    </w:p>
    <w:p w:rsidR="00AA451E" w:rsidRPr="00AA451E" w:rsidRDefault="00AA451E" w:rsidP="00AA451E">
      <w:pPr>
        <w:numPr>
          <w:ilvl w:val="0"/>
          <w:numId w:val="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паспорт;</w:t>
      </w:r>
    </w:p>
    <w:p w:rsidR="00AA451E" w:rsidRPr="00AA451E" w:rsidRDefault="00AA451E" w:rsidP="00AA451E">
      <w:pPr>
        <w:numPr>
          <w:ilvl w:val="0"/>
          <w:numId w:val="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выписка из ЕГРН;</w:t>
      </w:r>
    </w:p>
    <w:p w:rsidR="00AA451E" w:rsidRPr="00AA451E" w:rsidRDefault="00AA451E" w:rsidP="00AA451E">
      <w:pPr>
        <w:numPr>
          <w:ilvl w:val="0"/>
          <w:numId w:val="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трудовая книжка;</w:t>
      </w:r>
    </w:p>
    <w:p w:rsidR="00AA451E" w:rsidRPr="00AA451E" w:rsidRDefault="00AA451E" w:rsidP="00AA451E">
      <w:pPr>
        <w:numPr>
          <w:ilvl w:val="0"/>
          <w:numId w:val="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proofErr w:type="gramStart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справка</w:t>
      </w:r>
      <w:proofErr w:type="gramEnd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 xml:space="preserve"> подтверждающая инвалидность (если применимо);</w:t>
      </w:r>
    </w:p>
    <w:p w:rsidR="00AA451E" w:rsidRPr="00AA451E" w:rsidRDefault="00AA451E" w:rsidP="00AA451E">
      <w:pPr>
        <w:numPr>
          <w:ilvl w:val="0"/>
          <w:numId w:val="3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справка о количестве лиц, зарегистрированных в квартире (форма 9).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Ежемесячно на номер счета, указанный в заявлении, будет приходить сумма компенсации за капремонт.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31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Кто устанавливает размер взносов?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Размер взноса на капитальный ремонт устанавливают региональные власти. Например, в Санкт-Петербурге по состоянию на 2021 год ежемесячные взносы варьируются от 11 до 12 рублей за квадратный метр (в зависимости от года постройки дома).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32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Как взимается плата за капремонт?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Плата за капитальный ремонт начисляется вместе с остальными коммунальными платежами. Их можно найти в квитанции, которую присылает управляющая компания.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lastRenderedPageBreak/>
        <w:pict>
          <v:rect id="_x0000_i1033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Куда идут деньги, и кто их распределяет?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Полученные средства управляющая компания перечисляет в региональные фонд капремонта или специальный счет дома (если такое решение приняли собственники дома). Фонд в свою очередь нанимает подрядчиков и контролирует проведение ими ремонтных работ.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34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Что такое специальный счет дома и как его открыть?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6738345" cy="1095469"/>
            <wp:effectExtent l="19050" t="0" r="0" b="0"/>
            <wp:docPr id="11" name="Рисунок 11" descr="Открытие специального счет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ткрытие специального счета дом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561" cy="1095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Собрание собственников многоквартирного дома может принять решение об отказе от услуг регионального фонда капремонта и открытии отдельного счета, на который будут перечисляться взносы. В этом случае в ходе собрания также определяются размер ежемесячного взноса (не меньше минимального взноса, установленного регионом), владелец счета (ТСЖ, жилищный кооператив или управляющая компания) и банк, в котором будет открыт счет.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Решение общего собрания собственников направляется в региональный фонд капитального ремонта, а избранный владелец счета обращается в банк для открытия счета.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После того, как на счете накоплена необходимая сумма и подошло время капремонта, жильцы самостоятельно определяют подрядчика, который проводит работы.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36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Какие работы относятся к «капитальному ремонту»?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К числу работ, которые проводятся в ходе капитального ремонта, относится ремонт: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noProof/>
          <w:color w:val="1C1B28"/>
          <w:sz w:val="24"/>
          <w:szCs w:val="24"/>
          <w:lang w:eastAsia="ru-RU"/>
        </w:rPr>
        <w:drawing>
          <wp:inline distT="0" distB="0" distL="0" distR="0">
            <wp:extent cx="6621667" cy="1208638"/>
            <wp:effectExtent l="19050" t="0" r="7733" b="0"/>
            <wp:docPr id="13" name="Рисунок 13" descr="Список работ капитального ремон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писок работ капитального ремонт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7955" cy="1211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51E" w:rsidRPr="00AA451E" w:rsidRDefault="00AA451E" w:rsidP="00AA451E">
      <w:pPr>
        <w:numPr>
          <w:ilvl w:val="0"/>
          <w:numId w:val="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внутридомовых инженерных систем, то есть электропроводки, систем отопления, водоснабжения и водоотведения;</w:t>
      </w:r>
    </w:p>
    <w:p w:rsidR="00AA451E" w:rsidRPr="00AA451E" w:rsidRDefault="00AA451E" w:rsidP="00AA451E">
      <w:pPr>
        <w:numPr>
          <w:ilvl w:val="0"/>
          <w:numId w:val="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крыши;</w:t>
      </w:r>
    </w:p>
    <w:p w:rsidR="00AA451E" w:rsidRPr="00AA451E" w:rsidRDefault="00AA451E" w:rsidP="00AA451E">
      <w:pPr>
        <w:numPr>
          <w:ilvl w:val="0"/>
          <w:numId w:val="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подвальных помещений;</w:t>
      </w:r>
    </w:p>
    <w:p w:rsidR="00AA451E" w:rsidRPr="00AA451E" w:rsidRDefault="00AA451E" w:rsidP="00AA451E">
      <w:pPr>
        <w:numPr>
          <w:ilvl w:val="0"/>
          <w:numId w:val="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фасада;</w:t>
      </w:r>
    </w:p>
    <w:p w:rsidR="00AA451E" w:rsidRPr="00AA451E" w:rsidRDefault="00AA451E" w:rsidP="00AA451E">
      <w:pPr>
        <w:numPr>
          <w:ilvl w:val="0"/>
          <w:numId w:val="4"/>
        </w:num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фундамента.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Региональные власти по своему усмотрению расширить этот минимальный список работ.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38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Когда отремонтируют мой дом?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График проведения капремонта утверждается региональными властями. Конкретные даты проведения работ можно уточнить на сайте регионального фонда капитального ремонта, который действует в вашем регионе.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39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Что будет, если не платить взносы?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В этом случае плату могут взыскать в судебном порядке. В зависимости от продолжительности неплатежей и суммы долга могут применяться различные меры, включая от начисления пени до ареста имущества и ограничения выезда за границу.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pict>
          <v:rect id="_x0000_i1040" style="width:0;height:.35pt" o:hralign="center" o:hrstd="t" o:hr="t" fillcolor="gray" stroked="f"/>
        </w:pic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outlineLvl w:val="1"/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pacing w:val="-2"/>
          <w:sz w:val="24"/>
          <w:szCs w:val="24"/>
          <w:lang w:eastAsia="ru-RU"/>
        </w:rPr>
        <w:t>Куда обращаться, если капремонт дома сделан некачественно?</w:t>
      </w:r>
    </w:p>
    <w:p w:rsidR="00AA451E" w:rsidRPr="00AA451E" w:rsidRDefault="00AA451E" w:rsidP="00AA451E">
      <w:pPr>
        <w:shd w:val="clear" w:color="auto" w:fill="FFFFFF"/>
        <w:spacing w:line="240" w:lineRule="auto"/>
        <w:contextualSpacing/>
        <w:textAlignment w:val="baseline"/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</w:pPr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В случае</w:t>
      </w:r>
      <w:proofErr w:type="gramStart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>,</w:t>
      </w:r>
      <w:proofErr w:type="gramEnd"/>
      <w:r w:rsidRPr="00AA451E">
        <w:rPr>
          <w:rFonts w:ascii="Times New Roman" w:eastAsia="Times New Roman" w:hAnsi="Times New Roman" w:cs="Times New Roman"/>
          <w:color w:val="1C1B28"/>
          <w:sz w:val="24"/>
          <w:szCs w:val="24"/>
          <w:lang w:eastAsia="ru-RU"/>
        </w:rPr>
        <w:t xml:space="preserve"> если у жильцов возникают вопросы к качеству проведенного ремонта дома, можно обратиться в региональный фонд капитального ремонта или в органы региональной власти.</w:t>
      </w:r>
    </w:p>
    <w:p w:rsidR="001F68A6" w:rsidRPr="00AA451E" w:rsidRDefault="001F68A6" w:rsidP="00AA451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F68A6" w:rsidRPr="00AA451E" w:rsidSect="00AA451E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02CD1"/>
    <w:multiLevelType w:val="multilevel"/>
    <w:tmpl w:val="2EFA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9B7849"/>
    <w:multiLevelType w:val="multilevel"/>
    <w:tmpl w:val="DAF8F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7E58D9"/>
    <w:multiLevelType w:val="multilevel"/>
    <w:tmpl w:val="6C709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7569B5"/>
    <w:multiLevelType w:val="multilevel"/>
    <w:tmpl w:val="26AA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characterSpacingControl w:val="doNotCompress"/>
  <w:compat/>
  <w:rsids>
    <w:rsidRoot w:val="00AA451E"/>
    <w:rsid w:val="001C7E59"/>
    <w:rsid w:val="001F68A6"/>
    <w:rsid w:val="0037071B"/>
    <w:rsid w:val="00671499"/>
    <w:rsid w:val="00A00BA1"/>
    <w:rsid w:val="00AA451E"/>
    <w:rsid w:val="00AD0735"/>
    <w:rsid w:val="00B14E88"/>
    <w:rsid w:val="00DA36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8A6"/>
  </w:style>
  <w:style w:type="paragraph" w:styleId="1">
    <w:name w:val="heading 1"/>
    <w:basedOn w:val="a"/>
    <w:link w:val="10"/>
    <w:uiPriority w:val="9"/>
    <w:qFormat/>
    <w:rsid w:val="00AA451E"/>
    <w:pPr>
      <w:spacing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A451E"/>
    <w:pPr>
      <w:spacing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A45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A45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A451E"/>
    <w:pPr>
      <w:pBdr>
        <w:bottom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A45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A451E"/>
    <w:pPr>
      <w:pBdr>
        <w:top w:val="single" w:sz="6" w:space="1" w:color="auto"/>
      </w:pBdr>
      <w:spacing w:before="0" w:beforeAutospacing="0" w:after="0" w:afterAutospacing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A451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AA451E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A451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A451E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45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7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7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0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2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43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065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975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73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0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895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393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958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45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314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6442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43583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39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9451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6174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541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970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98190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868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9016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129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d1achjhdicc8bh4h.xn--p1ai/search/mf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700</Words>
  <Characters>3995</Characters>
  <Application>Microsoft Office Word</Application>
  <DocSecurity>0</DocSecurity>
  <Lines>33</Lines>
  <Paragraphs>9</Paragraphs>
  <ScaleCrop>false</ScaleCrop>
  <Company/>
  <LinksUpToDate>false</LinksUpToDate>
  <CharactersWithSpaces>4686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2022-03-30T08:22:00Z</dcterms:created>
  <dcterms:modified xsi:type="dcterms:W3CDTF">2022-03-30T08:36:00Z</dcterms:modified>
</cp:coreProperties>
</file>